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E1" w:rsidRPr="001A3AEB" w:rsidRDefault="001A3AEB">
      <w:pPr>
        <w:spacing w:before="49" w:after="29" w:line="480" w:lineRule="exact"/>
        <w:jc w:val="center"/>
        <w:textAlignment w:val="baseline"/>
        <w:rPr>
          <w:rFonts w:ascii="Calibri" w:eastAsia="Calibri" w:hAnsi="Calibri"/>
          <w:b/>
          <w:spacing w:val="1"/>
          <w:sz w:val="24"/>
          <w:szCs w:val="24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5680" behindDoc="1" locked="0" layoutInCell="1" allowOverlap="1" wp14:anchorId="269489D9" wp14:editId="2B7909D3">
            <wp:simplePos x="0" y="0"/>
            <wp:positionH relativeFrom="column">
              <wp:posOffset>23854</wp:posOffset>
            </wp:positionH>
            <wp:positionV relativeFrom="paragraph">
              <wp:posOffset>94808</wp:posOffset>
            </wp:positionV>
            <wp:extent cx="2732904" cy="1057275"/>
            <wp:effectExtent l="0" t="0" r="0" b="0"/>
            <wp:wrapNone/>
            <wp:docPr id="5" name="Picture 5" descr="Sprout:WIP:PRIVATE:1079791_OIC_Corporate Brochure:working_files:OIC_logo_fina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out:WIP:PRIVATE:1079791_OIC_Corporate Brochure:working_files:OIC_logo_final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904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7185"/>
      </w:tblGrid>
      <w:tr w:rsidR="001A3AEB" w:rsidTr="00C36593">
        <w:trPr>
          <w:trHeight w:hRule="exact" w:val="1710"/>
        </w:trPr>
        <w:tc>
          <w:tcPr>
            <w:tcW w:w="2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3AEB" w:rsidRDefault="001A3AEB" w:rsidP="001A3AEB">
            <w:pPr>
              <w:spacing w:after="9"/>
              <w:ind w:left="39"/>
              <w:textAlignment w:val="baseline"/>
            </w:pPr>
          </w:p>
        </w:tc>
        <w:tc>
          <w:tcPr>
            <w:tcW w:w="7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3AEB" w:rsidRDefault="001A3AEB" w:rsidP="00C36593">
            <w:pPr>
              <w:spacing w:before="79" w:line="322" w:lineRule="exact"/>
              <w:ind w:left="4269"/>
              <w:textAlignment w:val="baseline"/>
              <w:rPr>
                <w:rFonts w:ascii="Calibri" w:eastAsia="Calibri" w:hAnsi="Calibri"/>
                <w:color w:val="417F39"/>
                <w:sz w:val="32"/>
                <w:szCs w:val="32"/>
              </w:rPr>
            </w:pPr>
          </w:p>
          <w:p w:rsidR="001A3AEB" w:rsidRPr="00152245" w:rsidRDefault="001A3AEB" w:rsidP="00C36593">
            <w:pPr>
              <w:spacing w:before="79" w:line="322" w:lineRule="exact"/>
              <w:ind w:left="4269"/>
              <w:textAlignment w:val="baseline"/>
              <w:rPr>
                <w:rFonts w:ascii="Calibri" w:eastAsia="Calibri" w:hAnsi="Calibri"/>
                <w:color w:val="417F39"/>
                <w:sz w:val="32"/>
                <w:szCs w:val="32"/>
              </w:rPr>
            </w:pPr>
            <w:r w:rsidRPr="00152245">
              <w:rPr>
                <w:rFonts w:ascii="Calibri" w:eastAsia="Calibri" w:hAnsi="Calibri"/>
                <w:color w:val="417F39"/>
                <w:sz w:val="32"/>
                <w:szCs w:val="32"/>
              </w:rPr>
              <w:t xml:space="preserve">Information for public sector organisations </w:t>
            </w:r>
          </w:p>
          <w:p w:rsidR="001A3AEB" w:rsidRDefault="001A3AEB" w:rsidP="00C36593">
            <w:pPr>
              <w:spacing w:before="195" w:after="4" w:line="211" w:lineRule="exact"/>
              <w:ind w:left="3986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</w:p>
        </w:tc>
      </w:tr>
    </w:tbl>
    <w:p w:rsidR="002505E1" w:rsidRDefault="002505E1">
      <w:pPr>
        <w:spacing w:after="304" w:line="20" w:lineRule="exact"/>
      </w:pPr>
    </w:p>
    <w:p w:rsidR="002505E1" w:rsidRDefault="001A3AEB" w:rsidP="00415B4B">
      <w:pPr>
        <w:spacing w:after="120" w:line="495" w:lineRule="exact"/>
        <w:ind w:left="74" w:right="930"/>
        <w:textAlignment w:val="baseline"/>
        <w:rPr>
          <w:rFonts w:ascii="Arial" w:eastAsia="Arial" w:hAnsi="Arial"/>
          <w:b/>
          <w:color w:val="3B6291"/>
          <w:sz w:val="36"/>
        </w:rPr>
      </w:pPr>
      <w:r>
        <w:rPr>
          <w:rFonts w:ascii="Arial" w:eastAsia="Arial" w:hAnsi="Arial"/>
          <w:b/>
          <w:color w:val="3B6291"/>
          <w:sz w:val="36"/>
        </w:rPr>
        <w:t>Contain and Communicate Privacy Breaches</w:t>
      </w:r>
      <w:r w:rsidRPr="0005419A">
        <w:rPr>
          <w:rFonts w:ascii="Arial" w:eastAsia="Arial" w:hAnsi="Arial"/>
          <w:b/>
          <w:color w:val="3B6291"/>
          <w:sz w:val="36"/>
        </w:rPr>
        <w:t xml:space="preserve"> </w:t>
      </w:r>
    </w:p>
    <w:p w:rsidR="001A3AEB" w:rsidRPr="002167FD" w:rsidRDefault="001A3AEB" w:rsidP="00415B4B">
      <w:pPr>
        <w:spacing w:after="120" w:line="495" w:lineRule="exact"/>
        <w:ind w:left="74" w:right="930"/>
        <w:textAlignment w:val="baseline"/>
        <w:rPr>
          <w:rFonts w:ascii="Arial" w:eastAsia="Arial" w:hAnsi="Arial"/>
          <w:b/>
          <w:color w:val="1F4E79" w:themeColor="accent1" w:themeShade="80"/>
          <w:spacing w:val="-2"/>
          <w:sz w:val="36"/>
        </w:rPr>
      </w:pPr>
      <w:r w:rsidRPr="00152245">
        <w:rPr>
          <w:rFonts w:ascii="Arial" w:eastAsia="Arial" w:hAnsi="Arial"/>
          <w:color w:val="3B6291"/>
          <w:sz w:val="32"/>
        </w:rPr>
        <w:t>Guidance for Northern Territory public sector orga</w:t>
      </w:r>
      <w:r w:rsidR="002167FD">
        <w:rPr>
          <w:rFonts w:ascii="Arial" w:eastAsia="Arial" w:hAnsi="Arial"/>
          <w:color w:val="3B6291"/>
          <w:sz w:val="32"/>
        </w:rPr>
        <w:t xml:space="preserve">nisations </w:t>
      </w:r>
    </w:p>
    <w:p w:rsidR="002505E1" w:rsidRDefault="002505E1" w:rsidP="00415B4B">
      <w:pPr>
        <w:spacing w:after="498" w:line="495" w:lineRule="exact"/>
        <w:sectPr w:rsidR="002505E1">
          <w:pgSz w:w="11904" w:h="16843"/>
          <w:pgMar w:top="320" w:right="1109" w:bottom="141" w:left="1075" w:header="720" w:footer="720" w:gutter="0"/>
          <w:cols w:space="720"/>
        </w:sectPr>
      </w:pPr>
    </w:p>
    <w:p w:rsidR="002505E1" w:rsidRDefault="002167FD" w:rsidP="00415B4B">
      <w:pPr>
        <w:spacing w:before="120" w:after="120" w:line="268" w:lineRule="exact"/>
        <w:ind w:righ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NT public sector organisations </w:t>
      </w:r>
      <w:r w:rsidR="00F619CB">
        <w:rPr>
          <w:rFonts w:ascii="Calibri" w:eastAsia="Calibri" w:hAnsi="Calibri"/>
          <w:color w:val="000000"/>
        </w:rPr>
        <w:t>often handle individuals’ personal information. It is important to be aware that if personal information is lost, accidentally disclosed or compromised, a privacy breach may have occurred.</w:t>
      </w:r>
      <w:r>
        <w:rPr>
          <w:rFonts w:ascii="Calibri" w:eastAsia="Calibri" w:hAnsi="Calibri"/>
          <w:color w:val="000000"/>
        </w:rPr>
        <w:t xml:space="preserve"> </w:t>
      </w:r>
    </w:p>
    <w:p w:rsidR="002505E1" w:rsidRDefault="00F619CB" w:rsidP="00415B4B">
      <w:pPr>
        <w:spacing w:before="120" w:after="120" w:line="270" w:lineRule="exact"/>
        <w:ind w:right="288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Privacy breaches can cause great reputational and financial damage to an organisation and significant harm to affected individuals.</w:t>
      </w:r>
    </w:p>
    <w:p w:rsidR="002505E1" w:rsidRDefault="00F619CB" w:rsidP="00415B4B">
      <w:pPr>
        <w:spacing w:before="120" w:after="120" w:line="270" w:lineRule="exact"/>
        <w:ind w:righ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Examples of situations where personal information may become compromised include:</w:t>
      </w:r>
    </w:p>
    <w:p w:rsidR="002505E1" w:rsidRDefault="00F619CB">
      <w:pPr>
        <w:numPr>
          <w:ilvl w:val="0"/>
          <w:numId w:val="1"/>
        </w:numPr>
        <w:tabs>
          <w:tab w:val="clear" w:pos="360"/>
          <w:tab w:val="left" w:pos="720"/>
        </w:tabs>
        <w:spacing w:before="121" w:line="270" w:lineRule="exact"/>
        <w:ind w:hanging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the loss of hardcopy documents containing personal information, such as spreadsheets or notebooks;</w:t>
      </w:r>
    </w:p>
    <w:p w:rsidR="002505E1" w:rsidRDefault="00F619CB">
      <w:pPr>
        <w:numPr>
          <w:ilvl w:val="0"/>
          <w:numId w:val="1"/>
        </w:numPr>
        <w:tabs>
          <w:tab w:val="clear" w:pos="360"/>
          <w:tab w:val="left" w:pos="720"/>
        </w:tabs>
        <w:spacing w:before="113" w:line="270" w:lineRule="exact"/>
        <w:ind w:right="792" w:hanging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sending an email to an incorrect recipient;</w:t>
      </w:r>
    </w:p>
    <w:p w:rsidR="002505E1" w:rsidRDefault="00F619CB">
      <w:pPr>
        <w:numPr>
          <w:ilvl w:val="0"/>
          <w:numId w:val="1"/>
        </w:numPr>
        <w:tabs>
          <w:tab w:val="clear" w:pos="360"/>
          <w:tab w:val="left" w:pos="720"/>
        </w:tabs>
        <w:spacing w:before="123" w:line="270" w:lineRule="exact"/>
        <w:ind w:hanging="360"/>
        <w:jc w:val="both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unauthorised or accidental publication of personal information online; or</w:t>
      </w:r>
    </w:p>
    <w:p w:rsidR="002505E1" w:rsidRDefault="00F619CB">
      <w:pPr>
        <w:numPr>
          <w:ilvl w:val="0"/>
          <w:numId w:val="1"/>
        </w:numPr>
        <w:tabs>
          <w:tab w:val="clear" w:pos="360"/>
          <w:tab w:val="left" w:pos="720"/>
        </w:tabs>
        <w:spacing w:before="112" w:line="270" w:lineRule="exact"/>
        <w:ind w:hanging="360"/>
        <w:jc w:val="both"/>
        <w:textAlignment w:val="baseline"/>
        <w:rPr>
          <w:rFonts w:ascii="Calibri" w:eastAsia="Calibri" w:hAnsi="Calibri"/>
          <w:color w:val="000000"/>
        </w:rPr>
      </w:pPr>
      <w:proofErr w:type="gramStart"/>
      <w:r>
        <w:rPr>
          <w:rFonts w:ascii="Calibri" w:eastAsia="Calibri" w:hAnsi="Calibri"/>
          <w:color w:val="000000"/>
        </w:rPr>
        <w:t>a</w:t>
      </w:r>
      <w:proofErr w:type="gramEnd"/>
      <w:r>
        <w:rPr>
          <w:rFonts w:ascii="Calibri" w:eastAsia="Calibri" w:hAnsi="Calibri"/>
          <w:color w:val="000000"/>
        </w:rPr>
        <w:t xml:space="preserve"> failure to dispose of records containing personal information securely.</w:t>
      </w:r>
    </w:p>
    <w:p w:rsidR="002167FD" w:rsidRPr="002167FD" w:rsidRDefault="002167FD" w:rsidP="00102FE8">
      <w:pPr>
        <w:spacing w:before="120" w:line="412" w:lineRule="exact"/>
        <w:ind w:right="-244"/>
        <w:textAlignment w:val="baseline"/>
        <w:rPr>
          <w:rFonts w:asciiTheme="minorHAnsi" w:eastAsia="Arial" w:hAnsiTheme="minorHAnsi" w:cstheme="minorHAnsi"/>
          <w:b/>
          <w:color w:val="3B6291"/>
          <w:sz w:val="28"/>
          <w:szCs w:val="28"/>
        </w:rPr>
      </w:pPr>
      <w:r w:rsidRPr="002167FD">
        <w:rPr>
          <w:rFonts w:asciiTheme="minorHAnsi" w:eastAsia="Arial" w:hAnsiTheme="minorHAnsi" w:cstheme="minorHAnsi"/>
          <w:b/>
          <w:color w:val="3B6291"/>
          <w:sz w:val="28"/>
          <w:szCs w:val="28"/>
        </w:rPr>
        <w:t xml:space="preserve">Tips for </w:t>
      </w:r>
      <w:r>
        <w:rPr>
          <w:rFonts w:asciiTheme="minorHAnsi" w:eastAsia="Arial" w:hAnsiTheme="minorHAnsi" w:cstheme="minorHAnsi"/>
          <w:b/>
          <w:color w:val="3B6291"/>
          <w:sz w:val="28"/>
          <w:szCs w:val="28"/>
        </w:rPr>
        <w:t>responding to privacy breaches</w:t>
      </w:r>
    </w:p>
    <w:p w:rsidR="002505E1" w:rsidRDefault="00F619CB">
      <w:pPr>
        <w:spacing w:before="127" w:line="270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If a privacy breach does occur, the key point to remember is that </w:t>
      </w:r>
      <w:r>
        <w:rPr>
          <w:rFonts w:ascii="Calibri" w:eastAsia="Calibri" w:hAnsi="Calibri"/>
          <w:b/>
          <w:color w:val="000000"/>
        </w:rPr>
        <w:t xml:space="preserve">there is help available to assist your organisation </w:t>
      </w:r>
      <w:r>
        <w:rPr>
          <w:rFonts w:ascii="Calibri" w:eastAsia="Calibri" w:hAnsi="Calibri"/>
          <w:color w:val="000000"/>
        </w:rPr>
        <w:t>manage the breach.</w:t>
      </w:r>
    </w:p>
    <w:p w:rsidR="002505E1" w:rsidRDefault="00F619CB" w:rsidP="005B3907">
      <w:pPr>
        <w:spacing w:before="120" w:line="269" w:lineRule="exact"/>
        <w:textAlignment w:val="baseline"/>
        <w:rPr>
          <w:rFonts w:ascii="Calibri" w:eastAsia="Calibri" w:hAnsi="Calibri"/>
          <w:color w:val="000000"/>
        </w:rPr>
      </w:pPr>
      <w:r>
        <w:br w:type="column"/>
      </w:r>
      <w:r>
        <w:rPr>
          <w:rFonts w:ascii="Calibri" w:eastAsia="Calibri" w:hAnsi="Calibri"/>
          <w:color w:val="000000"/>
        </w:rPr>
        <w:t xml:space="preserve">If documents or datasets containing personal information become compromised, lost, or unauthorised access is detected, it is important to </w:t>
      </w:r>
      <w:r>
        <w:rPr>
          <w:rFonts w:ascii="Calibri" w:eastAsia="Calibri" w:hAnsi="Calibri"/>
          <w:b/>
          <w:color w:val="000000"/>
        </w:rPr>
        <w:t xml:space="preserve">act quickly </w:t>
      </w:r>
      <w:r>
        <w:rPr>
          <w:rFonts w:ascii="Calibri" w:eastAsia="Calibri" w:hAnsi="Calibri"/>
          <w:color w:val="000000"/>
        </w:rPr>
        <w:t>to contain the breach, evaluate the risks, take steps to remediate any harm, and notify relevant parties.</w:t>
      </w:r>
    </w:p>
    <w:p w:rsidR="002505E1" w:rsidRDefault="00F619CB" w:rsidP="00415B4B">
      <w:pPr>
        <w:spacing w:before="120" w:after="120" w:line="270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Your first point of contact should be your </w:t>
      </w:r>
      <w:r w:rsidR="00102FE8">
        <w:rPr>
          <w:rFonts w:ascii="Calibri" w:eastAsia="Calibri" w:hAnsi="Calibri"/>
          <w:color w:val="000000"/>
        </w:rPr>
        <w:t>Information/</w:t>
      </w:r>
      <w:r>
        <w:rPr>
          <w:rFonts w:ascii="Calibri" w:eastAsia="Calibri" w:hAnsi="Calibri"/>
          <w:color w:val="000000"/>
        </w:rPr>
        <w:t>Privacy Officer</w:t>
      </w:r>
      <w:r w:rsidR="00102FE8">
        <w:rPr>
          <w:rFonts w:ascii="Calibri" w:eastAsia="Calibri" w:hAnsi="Calibri"/>
          <w:color w:val="000000"/>
        </w:rPr>
        <w:t>, your Supervisor</w:t>
      </w:r>
      <w:r>
        <w:rPr>
          <w:rFonts w:ascii="Calibri" w:eastAsia="Calibri" w:hAnsi="Calibri"/>
          <w:color w:val="000000"/>
        </w:rPr>
        <w:t xml:space="preserve"> or </w:t>
      </w:r>
      <w:r w:rsidR="00102FE8">
        <w:rPr>
          <w:rFonts w:ascii="Calibri" w:eastAsia="Calibri" w:hAnsi="Calibri"/>
          <w:color w:val="000000"/>
        </w:rPr>
        <w:t xml:space="preserve">the person nominated by your organisation. </w:t>
      </w:r>
      <w:r>
        <w:rPr>
          <w:rFonts w:ascii="Calibri" w:eastAsia="Calibri" w:hAnsi="Calibri"/>
          <w:color w:val="000000"/>
        </w:rPr>
        <w:t xml:space="preserve">They are there to help and will be able to assess a suspected privacy breach and </w:t>
      </w:r>
      <w:proofErr w:type="gramStart"/>
      <w:r>
        <w:rPr>
          <w:rFonts w:ascii="Calibri" w:eastAsia="Calibri" w:hAnsi="Calibri"/>
          <w:color w:val="000000"/>
        </w:rPr>
        <w:t>advise</w:t>
      </w:r>
      <w:proofErr w:type="gramEnd"/>
      <w:r>
        <w:rPr>
          <w:rFonts w:ascii="Calibri" w:eastAsia="Calibri" w:hAnsi="Calibri"/>
          <w:color w:val="000000"/>
        </w:rPr>
        <w:t xml:space="preserve"> you of the steps to take to contain and manage the breach.</w:t>
      </w:r>
    </w:p>
    <w:p w:rsidR="002505E1" w:rsidRDefault="00F619CB" w:rsidP="00415B4B">
      <w:pPr>
        <w:spacing w:before="120" w:after="120" w:line="270" w:lineRule="exact"/>
        <w:ind w:right="432"/>
        <w:textAlignment w:val="baseline"/>
        <w:rPr>
          <w:rFonts w:ascii="Calibri" w:eastAsia="Calibri" w:hAnsi="Calibri"/>
          <w:color w:val="000000"/>
          <w:spacing w:val="-2"/>
        </w:rPr>
      </w:pPr>
      <w:r>
        <w:rPr>
          <w:rFonts w:ascii="Calibri" w:eastAsia="Calibri" w:hAnsi="Calibri"/>
          <w:color w:val="000000"/>
          <w:spacing w:val="-2"/>
        </w:rPr>
        <w:t xml:space="preserve">If you suspect a privacy breach may have occurred, </w:t>
      </w:r>
      <w:r>
        <w:rPr>
          <w:rFonts w:ascii="Calibri" w:eastAsia="Calibri" w:hAnsi="Calibri"/>
          <w:b/>
          <w:color w:val="000000"/>
          <w:spacing w:val="-2"/>
        </w:rPr>
        <w:t>don’t try to ignore or cover up the breach</w:t>
      </w:r>
      <w:r>
        <w:rPr>
          <w:rFonts w:ascii="Calibri" w:eastAsia="Calibri" w:hAnsi="Calibri"/>
          <w:color w:val="000000"/>
          <w:spacing w:val="-2"/>
        </w:rPr>
        <w:t>. Proactive management of privacy breaches is essential in order to minimise damage to your organisation and to affected individuals.</w:t>
      </w:r>
    </w:p>
    <w:p w:rsidR="002505E1" w:rsidRDefault="00F619CB" w:rsidP="00415B4B">
      <w:pPr>
        <w:spacing w:before="120" w:after="120" w:line="270" w:lineRule="exact"/>
        <w:ind w:righ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If you</w:t>
      </w:r>
      <w:r w:rsidR="00102FE8">
        <w:rPr>
          <w:rFonts w:ascii="Calibri" w:eastAsia="Calibri" w:hAnsi="Calibri"/>
          <w:color w:val="000000"/>
        </w:rPr>
        <w:t xml:space="preserve">r organisation </w:t>
      </w:r>
      <w:r>
        <w:rPr>
          <w:rFonts w:ascii="Calibri" w:eastAsia="Calibri" w:hAnsi="Calibri"/>
          <w:color w:val="000000"/>
        </w:rPr>
        <w:t>ha</w:t>
      </w:r>
      <w:r w:rsidR="00102FE8">
        <w:rPr>
          <w:rFonts w:ascii="Calibri" w:eastAsia="Calibri" w:hAnsi="Calibri"/>
          <w:color w:val="000000"/>
        </w:rPr>
        <w:t>s</w:t>
      </w:r>
      <w:r>
        <w:rPr>
          <w:rFonts w:ascii="Calibri" w:eastAsia="Calibri" w:hAnsi="Calibri"/>
          <w:color w:val="000000"/>
        </w:rPr>
        <w:t xml:space="preserve"> any questions you can get in touch with the Office of the </w:t>
      </w:r>
      <w:r w:rsidR="002167FD">
        <w:rPr>
          <w:rFonts w:ascii="Calibri" w:eastAsia="Calibri" w:hAnsi="Calibri"/>
          <w:color w:val="000000"/>
        </w:rPr>
        <w:t>Information Commissioner</w:t>
      </w:r>
      <w:r>
        <w:rPr>
          <w:rFonts w:ascii="Calibri" w:eastAsia="Calibri" w:hAnsi="Calibri"/>
          <w:color w:val="000000"/>
        </w:rPr>
        <w:t>. We will be able to support your organisation to contain, address and prevent privacy breaches in the future.</w:t>
      </w:r>
    </w:p>
    <w:p w:rsidR="002505E1" w:rsidRDefault="00F619CB" w:rsidP="00415B4B">
      <w:pPr>
        <w:spacing w:before="120" w:after="120" w:line="270" w:lineRule="exact"/>
        <w:ind w:right="432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For more information on how to contain and manage privacy breaches, check our</w:t>
      </w:r>
      <w:r w:rsidR="00E6130C">
        <w:rPr>
          <w:rFonts w:ascii="Calibri" w:eastAsia="Calibri" w:hAnsi="Calibri"/>
          <w:color w:val="000000"/>
          <w:spacing w:val="-1"/>
        </w:rPr>
        <w:t xml:space="preserve"> website </w:t>
      </w:r>
      <w:hyperlink r:id="rId6" w:history="1">
        <w:r w:rsidR="00E6130C" w:rsidRPr="00662A92">
          <w:rPr>
            <w:rStyle w:val="Hyperlink"/>
            <w:rFonts w:ascii="Calibri" w:eastAsia="Calibri" w:hAnsi="Calibri"/>
            <w:spacing w:val="-1"/>
          </w:rPr>
          <w:t>http://www.infocomm.nt.gov.au</w:t>
        </w:r>
      </w:hyperlink>
      <w:r w:rsidR="00E6130C">
        <w:rPr>
          <w:rFonts w:ascii="Calibri" w:eastAsia="Calibri" w:hAnsi="Calibri"/>
          <w:color w:val="000000"/>
          <w:spacing w:val="-1"/>
        </w:rPr>
        <w:t xml:space="preserve"> </w:t>
      </w:r>
    </w:p>
    <w:p w:rsidR="002505E1" w:rsidRDefault="002505E1">
      <w:pPr>
        <w:sectPr w:rsidR="002505E1">
          <w:type w:val="continuous"/>
          <w:pgSz w:w="11904" w:h="16843"/>
          <w:pgMar w:top="320" w:right="1157" w:bottom="141" w:left="1126" w:header="720" w:footer="720" w:gutter="0"/>
          <w:cols w:num="2" w:space="0" w:equalWidth="0">
            <w:col w:w="4435" w:space="751"/>
            <w:col w:w="4435" w:space="0"/>
          </w:cols>
        </w:sectPr>
      </w:pPr>
    </w:p>
    <w:p w:rsidR="00415B4B" w:rsidRDefault="00415B4B" w:rsidP="005B3907">
      <w:pPr>
        <w:spacing w:before="960" w:line="412" w:lineRule="exact"/>
        <w:textAlignment w:val="baseline"/>
        <w:rPr>
          <w:rFonts w:asciiTheme="minorHAnsi" w:eastAsia="Arial" w:hAnsiTheme="minorHAnsi" w:cstheme="minorHAnsi"/>
          <w:b/>
          <w:color w:val="3B6291"/>
          <w:sz w:val="28"/>
          <w:szCs w:val="28"/>
        </w:rPr>
      </w:pPr>
      <w:r>
        <w:rPr>
          <w:rFonts w:asciiTheme="minorHAnsi" w:eastAsia="Arial" w:hAnsiTheme="minorHAnsi" w:cstheme="minorHAnsi"/>
          <w:b/>
          <w:noProof/>
          <w:color w:val="3B6291"/>
          <w:sz w:val="28"/>
          <w:szCs w:val="28"/>
          <w:lang w:val="en-AU" w:eastAsia="en-AU"/>
        </w:rPr>
        <w:drawing>
          <wp:inline distT="0" distB="0" distL="0" distR="0" wp14:anchorId="6B0BB561" wp14:editId="3B3A3D2E">
            <wp:extent cx="6361043" cy="642620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stract blue green waves - Click Bestsellers shutterstock_13690634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8" b="68047"/>
                    <a:stretch/>
                  </pic:blipFill>
                  <pic:spPr bwMode="auto">
                    <a:xfrm>
                      <a:off x="0" y="0"/>
                      <a:ext cx="6361043" cy="64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B4B" w:rsidRPr="0005419A" w:rsidRDefault="00415B4B" w:rsidP="00415B4B">
      <w:pPr>
        <w:spacing w:before="419" w:line="412" w:lineRule="exact"/>
        <w:textAlignment w:val="baseline"/>
        <w:rPr>
          <w:rFonts w:asciiTheme="minorHAnsi" w:eastAsia="Arial" w:hAnsiTheme="minorHAnsi" w:cstheme="minorHAnsi"/>
          <w:b/>
          <w:color w:val="3B6291"/>
          <w:sz w:val="28"/>
          <w:szCs w:val="28"/>
        </w:rPr>
      </w:pPr>
      <w:r>
        <w:rPr>
          <w:rFonts w:asciiTheme="minorHAnsi" w:eastAsia="Arial" w:hAnsiTheme="minorHAnsi" w:cstheme="minorHAnsi"/>
          <w:b/>
          <w:noProof/>
          <w:color w:val="3B6291"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DBCE74" wp14:editId="5E8C1FB1">
                <wp:simplePos x="0" y="0"/>
                <wp:positionH relativeFrom="column">
                  <wp:posOffset>3441424</wp:posOffset>
                </wp:positionH>
                <wp:positionV relativeFrom="paragraph">
                  <wp:posOffset>378460</wp:posOffset>
                </wp:positionV>
                <wp:extent cx="2536466" cy="755374"/>
                <wp:effectExtent l="0" t="0" r="1651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466" cy="755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B4B" w:rsidRPr="0005419A" w:rsidRDefault="00415B4B" w:rsidP="00415B4B">
                            <w:pPr>
                              <w:spacing w:before="120"/>
                              <w:rPr>
                                <w:rFonts w:asciiTheme="minorHAnsi" w:eastAsia="Arial" w:hAnsiTheme="minorHAnsi" w:cstheme="minorHAnsi"/>
                                <w:b/>
                                <w:color w:val="3B6291"/>
                                <w:sz w:val="28"/>
                                <w:szCs w:val="28"/>
                              </w:rPr>
                            </w:pPr>
                            <w:r w:rsidRPr="0005419A">
                              <w:rPr>
                                <w:rFonts w:asciiTheme="minorHAnsi" w:eastAsia="Arial" w:hAnsiTheme="minorHAnsi" w:cstheme="minorHAnsi"/>
                                <w:b/>
                                <w:color w:val="3B6291"/>
                                <w:sz w:val="28"/>
                                <w:szCs w:val="28"/>
                              </w:rPr>
                              <w:t>Disclaimer</w:t>
                            </w:r>
                            <w:r w:rsidRPr="0005419A">
                              <w:rPr>
                                <w:rFonts w:asciiTheme="minorHAnsi" w:eastAsia="Arial" w:hAnsiTheme="minorHAnsi" w:cstheme="minorHAnsi"/>
                                <w:b/>
                                <w:color w:val="3B629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3"/>
                                <w:sz w:val="17"/>
                              </w:rPr>
                              <w:t xml:space="preserve">The information in this document is general in nature and does not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2"/>
                                <w:sz w:val="17"/>
                              </w:rPr>
                              <w:t>constitute legal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CE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pt;margin-top:29.8pt;width:199.7pt;height:59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cEpgIAANsFAAAOAAAAZHJzL2Uyb0RvYy54bWysVEtv2zAMvg/YfxB0X+24eWxBnSJr0WFA&#10;1xZrh54VWWqMSaImKbGzXz9KtpO066XDLjYlfqTIj4+z81YrshXO12BKOjrJKRGGQ1Wbp5L+eLj6&#10;8JESH5ipmAIjSroTnp4v3r87a+xcFLAGVQlH0Inx88aWdB2CnWeZ52uhmT8BKwwqJTjNAh7dU1Y5&#10;1qB3rbIiz6dZA66yDrjwHm8vOyVdJP9SCh5upfQiEFVSjC2kr0vfVfxmizM2f3LMrmveh8H+IQrN&#10;aoOP7l1dssDIxtV/udI1d+BBhhMOOgMpay5SDpjNKH+Rzf2aWZFyQXK83dPk/59bfrO9c6SuSlpQ&#10;YpjGEj2INpDP0JIistNYP0fQvUVYaPEaqzzce7yMSbfS6fjHdAjqkefdntvojONlMTmdjqdTSjjq&#10;ZpPJ6Wwc3WQHa+t8+CJAkyiU1GHtEqVse+1DBx0g8TEPqq6uaqXSIfaLuFCObBlWWoUUIzp/hlKG&#10;NBh+Mcvz5PmZMrXcwQXjXJgwTTi10d+g6lzPJjlad+HsTVIeR97wYWViXCK1YB9/pLKjLElhp0TE&#10;KPNdSCxBYu6VZLpIhoQSOqIkpv4Wwx5/iOotxl0eaJFeBhP2xro24Do2n9eg+jmELDs8knSUdxRD&#10;u2r7FltBtcMOc9BNqLf8qsY2uGY+3DGHI4lNhWsm3OJHKsAyQi9Rsgb3+7X7iMdJQS0lDY54Sf2v&#10;DXOCEvXV4Ax9Go3HcSekw3gyK/DgjjWrY43Z6AvA3hrhQrM8iREf1CBKB/oRt9EyvooqZji+XdIw&#10;iBehWzy4zbhYLhMIt4Bl4drcWx5dR3pjkz+0j8zZfhICztANDMuAzV8MRIeNlgaWmwCyTtMSCe5Y&#10;7YnHDZL6tN92cUUdnxPqsJMXfwAAAP//AwBQSwMEFAAGAAgAAAAhAAcWQyXeAAAACgEAAA8AAABk&#10;cnMvZG93bnJldi54bWxMj8FOg0AQhu8mvsNmTLzZpYRioSyNMfHmxWqi3rbsCLTsLLBLwbd3POlt&#10;JvPln+8v9ovtxAVH3zpSsF5FIJAqZ1qqFby9Pt1tQfigyejOESr4Rg/78vqq0LlxM73g5RBqwSHk&#10;c62gCaHPpfRVg1b7leuR+PblRqsDr2MtzahnDredjKMolVa3xB8a3eNjg9X5MFkF9O7Pp88wRBv3&#10;8TzE8zJlOKBStzfLww5EwCX8wfCrz+pQstPRTWS86BRskpi7BB6yFAQDWbJOQByZvN+mIMtC/q9Q&#10;/gAAAP//AwBQSwECLQAUAAYACAAAACEAtoM4kv4AAADhAQAAEwAAAAAAAAAAAAAAAAAAAAAAW0Nv&#10;bnRlbnRfVHlwZXNdLnhtbFBLAQItABQABgAIAAAAIQA4/SH/1gAAAJQBAAALAAAAAAAAAAAAAAAA&#10;AC8BAABfcmVscy8ucmVsc1BLAQItABQABgAIAAAAIQAW4wcEpgIAANsFAAAOAAAAAAAAAAAAAAAA&#10;AC4CAABkcnMvZTJvRG9jLnhtbFBLAQItABQABgAIAAAAIQAHFkMl3gAAAAoBAAAPAAAAAAAAAAAA&#10;AAAAAAAFAABkcnMvZG93bnJldi54bWxQSwUGAAAAAAQABADzAAAACwYAAAAA&#10;" fillcolor="white [3201]" strokecolor="#538135 [2409]" strokeweight="1pt">
                <v:textbox>
                  <w:txbxContent>
                    <w:p w:rsidR="00415B4B" w:rsidRPr="0005419A" w:rsidRDefault="00415B4B" w:rsidP="00415B4B">
                      <w:pPr>
                        <w:spacing w:before="120"/>
                        <w:rPr>
                          <w:rFonts w:asciiTheme="minorHAnsi" w:eastAsia="Arial" w:hAnsiTheme="minorHAnsi" w:cstheme="minorHAnsi"/>
                          <w:b/>
                          <w:color w:val="3B6291"/>
                          <w:sz w:val="28"/>
                          <w:szCs w:val="28"/>
                        </w:rPr>
                      </w:pPr>
                      <w:r w:rsidRPr="0005419A">
                        <w:rPr>
                          <w:rFonts w:asciiTheme="minorHAnsi" w:eastAsia="Arial" w:hAnsiTheme="minorHAnsi" w:cstheme="minorHAnsi"/>
                          <w:b/>
                          <w:color w:val="3B6291"/>
                          <w:sz w:val="28"/>
                          <w:szCs w:val="28"/>
                        </w:rPr>
                        <w:t>Disclaimer</w:t>
                      </w:r>
                      <w:r w:rsidRPr="0005419A">
                        <w:rPr>
                          <w:rFonts w:asciiTheme="minorHAnsi" w:eastAsia="Arial" w:hAnsiTheme="minorHAnsi" w:cstheme="minorHAnsi"/>
                          <w:b/>
                          <w:color w:val="3B629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alibri" w:eastAsia="Calibri" w:hAnsi="Calibri"/>
                          <w:color w:val="000000"/>
                          <w:spacing w:val="-3"/>
                          <w:sz w:val="17"/>
                        </w:rPr>
                        <w:t xml:space="preserve">The information in this document is general in nature and does not </w:t>
                      </w:r>
                      <w:r>
                        <w:rPr>
                          <w:rFonts w:ascii="Calibri" w:eastAsia="Calibri" w:hAnsi="Calibri"/>
                          <w:color w:val="000000"/>
                          <w:spacing w:val="-2"/>
                          <w:sz w:val="17"/>
                        </w:rPr>
                        <w:t>constitute legal advice</w:t>
                      </w:r>
                    </w:p>
                  </w:txbxContent>
                </v:textbox>
              </v:shape>
            </w:pict>
          </mc:Fallback>
        </mc:AlternateContent>
      </w:r>
      <w:r w:rsidRPr="0005419A">
        <w:rPr>
          <w:rFonts w:asciiTheme="minorHAnsi" w:eastAsia="Arial" w:hAnsiTheme="minorHAnsi" w:cstheme="minorHAnsi"/>
          <w:b/>
          <w:color w:val="3B6291"/>
          <w:sz w:val="28"/>
          <w:szCs w:val="28"/>
        </w:rPr>
        <w:t>F</w:t>
      </w:r>
      <w:r>
        <w:rPr>
          <w:rFonts w:asciiTheme="minorHAnsi" w:eastAsia="Arial" w:hAnsiTheme="minorHAnsi" w:cstheme="minorHAnsi"/>
          <w:b/>
          <w:color w:val="3B6291"/>
          <w:sz w:val="28"/>
          <w:szCs w:val="28"/>
        </w:rPr>
        <w:t>or f</w:t>
      </w:r>
      <w:r w:rsidRPr="0005419A">
        <w:rPr>
          <w:rFonts w:asciiTheme="minorHAnsi" w:eastAsia="Arial" w:hAnsiTheme="minorHAnsi" w:cstheme="minorHAnsi"/>
          <w:b/>
          <w:color w:val="3B6291"/>
          <w:sz w:val="28"/>
          <w:szCs w:val="28"/>
        </w:rPr>
        <w:t>urther Information</w:t>
      </w:r>
      <w:r>
        <w:rPr>
          <w:rFonts w:asciiTheme="minorHAnsi" w:eastAsia="Arial" w:hAnsiTheme="minorHAnsi" w:cstheme="minorHAnsi"/>
          <w:b/>
          <w:color w:val="3B6291"/>
          <w:sz w:val="28"/>
          <w:szCs w:val="28"/>
        </w:rPr>
        <w:t>, contact us</w:t>
      </w:r>
    </w:p>
    <w:p w:rsidR="00415B4B" w:rsidRDefault="00415B4B" w:rsidP="00415B4B">
      <w:pPr>
        <w:tabs>
          <w:tab w:val="left" w:pos="5184"/>
        </w:tabs>
        <w:spacing w:line="266" w:lineRule="exact"/>
        <w:textAlignment w:val="baseline"/>
        <w:rPr>
          <w:rFonts w:ascii="Calibri" w:eastAsia="Calibri" w:hAnsi="Calibri"/>
          <w:color w:val="2F5496" w:themeColor="accent5" w:themeShade="BF"/>
          <w:sz w:val="21"/>
        </w:rPr>
      </w:pPr>
      <w:r w:rsidRPr="0005419A">
        <w:rPr>
          <w:rFonts w:ascii="Calibri" w:eastAsia="Calibri" w:hAnsi="Calibri"/>
          <w:color w:val="2F5496" w:themeColor="accent5" w:themeShade="BF"/>
          <w:sz w:val="21"/>
        </w:rPr>
        <w:t xml:space="preserve">1800 005 610 </w:t>
      </w:r>
      <w:r w:rsidR="00102FE8">
        <w:rPr>
          <w:rFonts w:ascii="Calibri" w:eastAsia="Calibri" w:hAnsi="Calibri"/>
          <w:color w:val="2F5496" w:themeColor="accent5" w:themeShade="BF"/>
          <w:sz w:val="21"/>
        </w:rPr>
        <w:t>/ 8999 1500</w:t>
      </w:r>
      <w:r>
        <w:rPr>
          <w:rFonts w:ascii="Calibri" w:eastAsia="Calibri" w:hAnsi="Calibri"/>
          <w:color w:val="2F5496" w:themeColor="accent5" w:themeShade="BF"/>
          <w:sz w:val="21"/>
        </w:rPr>
        <w:tab/>
      </w:r>
    </w:p>
    <w:p w:rsidR="002505E1" w:rsidRPr="00415B4B" w:rsidRDefault="00415B4B" w:rsidP="00415B4B">
      <w:pPr>
        <w:tabs>
          <w:tab w:val="left" w:pos="5184"/>
        </w:tabs>
        <w:spacing w:line="266" w:lineRule="exact"/>
        <w:textAlignment w:val="baseline"/>
        <w:rPr>
          <w:rFonts w:ascii="Calibri" w:eastAsia="Calibri" w:hAnsi="Calibri"/>
          <w:b/>
          <w:color w:val="000000"/>
          <w:spacing w:val="-1"/>
          <w:sz w:val="24"/>
        </w:rPr>
      </w:pPr>
      <w:r w:rsidRPr="0005419A">
        <w:rPr>
          <w:rFonts w:ascii="Calibri" w:eastAsia="Calibri" w:hAnsi="Calibri"/>
          <w:color w:val="2F5496" w:themeColor="accent5" w:themeShade="BF"/>
          <w:sz w:val="21"/>
        </w:rPr>
        <w:t>http://www.</w:t>
      </w:r>
      <w:hyperlink r:id="rId8"/>
      <w:r w:rsidRPr="0005419A">
        <w:rPr>
          <w:color w:val="2F5496" w:themeColor="accent5" w:themeShade="BF"/>
        </w:rPr>
        <w:t>infocomm.nt.gov.au</w:t>
      </w:r>
      <w:r>
        <w:rPr>
          <w:color w:val="2F5496" w:themeColor="accent5" w:themeShade="BF"/>
        </w:rPr>
        <w:br/>
      </w:r>
      <w:hyperlink r:id="rId9" w:history="1">
        <w:r w:rsidRPr="009E3172">
          <w:rPr>
            <w:rStyle w:val="Hyperlink"/>
            <w:color w:val="034990" w:themeColor="hyperlink" w:themeShade="BF"/>
          </w:rPr>
          <w:t>infocomm@nt.gov.au</w:t>
        </w:r>
      </w:hyperlink>
    </w:p>
    <w:sectPr w:rsidR="002505E1" w:rsidRPr="00415B4B">
      <w:type w:val="continuous"/>
      <w:pgSz w:w="11904" w:h="16843"/>
      <w:pgMar w:top="320" w:right="1080" w:bottom="221" w:left="11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96782"/>
    <w:multiLevelType w:val="multilevel"/>
    <w:tmpl w:val="8AFC8C9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xSL0BimWmHelMQcTGZLYxgBhtXqHVAOsneK/ju4wOTgYf/+0ZuQfyNico/PEgpUyK9T3EuzaRs0uDXRr0o6+Q==" w:salt="uQl20gpmT57dRhUVwKl8FQ==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505E1"/>
    <w:rsid w:val="000703FC"/>
    <w:rsid w:val="00102FE8"/>
    <w:rsid w:val="001A3AEB"/>
    <w:rsid w:val="002167FD"/>
    <w:rsid w:val="002505E1"/>
    <w:rsid w:val="00415B4B"/>
    <w:rsid w:val="005912A1"/>
    <w:rsid w:val="005B3907"/>
    <w:rsid w:val="00A80B47"/>
    <w:rsid w:val="00E6130C"/>
    <w:rsid w:val="00F6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B851A-ABD5-4DF5-B2F3-A5EFB98D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B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ic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infocomm.nt.gov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comm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358</Words>
  <Characters>2046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Helmy Bakermans</dc:creator>
  <cp:lastModifiedBy>Helmy Bakermans</cp:lastModifiedBy>
  <cp:revision>6</cp:revision>
  <cp:lastPrinted>2018-05-02T04:37:00Z</cp:lastPrinted>
  <dcterms:created xsi:type="dcterms:W3CDTF">2018-05-02T00:59:00Z</dcterms:created>
  <dcterms:modified xsi:type="dcterms:W3CDTF">2018-05-02T23:54:00Z</dcterms:modified>
</cp:coreProperties>
</file>